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Pr="00CE42FF"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Pr>
          <w:b/>
          <w:sz w:val="28"/>
          <w:szCs w:val="28"/>
        </w:rPr>
        <w:t xml:space="preserve">Objet : </w:t>
      </w:r>
      <w:r w:rsidR="00CE42FF" w:rsidRPr="00CE42FF">
        <w:rPr>
          <w:sz w:val="28"/>
          <w:szCs w:val="28"/>
        </w:rPr>
        <w:t>Guyane (973) – Matoury - BA 367 – Mise au norme du chenil</w:t>
      </w:r>
    </w:p>
    <w:p w:rsidR="008E6767" w:rsidRPr="008E6767" w:rsidRDefault="00D4533F"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sz w:val="28"/>
        </w:rPr>
        <w:t>LOT 1</w:t>
      </w:r>
      <w:r w:rsidR="008E6767" w:rsidRPr="008E6767">
        <w:rPr>
          <w:sz w:val="28"/>
        </w:rPr>
        <w:t xml:space="preserve"> : </w:t>
      </w:r>
      <w:r w:rsidRPr="00D4533F">
        <w:rPr>
          <w:sz w:val="28"/>
          <w:szCs w:val="28"/>
        </w:rPr>
        <w:t>Voirie et Réseaux divers (VRD)</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E538B2">
      <w:pPr>
        <w:framePr w:w="4680" w:h="5686" w:hSpace="142" w:wrap="around" w:vAnchor="text" w:hAnchor="page" w:x="5859" w:y="40"/>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986A54">
        <w:rPr>
          <w:rFonts w:ascii="Arial" w:hAnsi="Arial" w:cs="Arial"/>
          <w:noProof/>
          <w:sz w:val="20"/>
        </w:rPr>
      </w:r>
      <w:r w:rsidR="00986A54">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986A54">
        <w:rPr>
          <w:rFonts w:ascii="Arial" w:hAnsi="Arial" w:cs="Arial"/>
          <w:noProof/>
          <w:sz w:val="20"/>
        </w:rPr>
      </w:r>
      <w:r w:rsidR="00986A54">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986A54">
        <w:rPr>
          <w:rFonts w:ascii="Arial" w:hAnsi="Arial" w:cs="Arial"/>
          <w:noProof/>
          <w:spacing w:val="-4"/>
          <w:sz w:val="20"/>
        </w:rPr>
      </w:r>
      <w:r w:rsidR="00986A54">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986A54">
        <w:rPr>
          <w:rFonts w:ascii="Arial" w:hAnsi="Arial" w:cs="Arial"/>
          <w:noProof/>
          <w:spacing w:val="-4"/>
          <w:sz w:val="20"/>
        </w:rPr>
      </w:r>
      <w:r w:rsidR="00986A54">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r w:rsidRPr="005D0F52">
        <w:rPr>
          <w:rFonts w:ascii="Arial" w:hAnsi="Arial" w:cs="Arial"/>
          <w:b/>
          <w:bCs/>
          <w:sz w:val="22"/>
          <w:szCs w:val="22"/>
        </w:rPr>
        <w:t xml:space="preserve">m'engage,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986A54">
        <w:rPr>
          <w:rFonts w:ascii="Arial" w:hAnsi="Arial" w:cs="Arial"/>
          <w:sz w:val="22"/>
          <w:szCs w:val="22"/>
        </w:rPr>
      </w:r>
      <w:r w:rsidR="00986A54">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986A54">
        <w:rPr>
          <w:rFonts w:ascii="Arial" w:hAnsi="Arial" w:cs="Arial"/>
          <w:sz w:val="22"/>
          <w:szCs w:val="22"/>
        </w:rPr>
      </w:r>
      <w:r w:rsidR="00986A54">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986A54">
        <w:rPr>
          <w:rFonts w:ascii="Arial" w:hAnsi="Arial" w:cs="Arial"/>
          <w:noProof/>
          <w:spacing w:val="-4"/>
          <w:sz w:val="20"/>
        </w:rPr>
      </w:r>
      <w:r w:rsidR="00986A54">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986A54">
        <w:rPr>
          <w:rFonts w:ascii="Arial" w:hAnsi="Arial" w:cs="Arial"/>
          <w:noProof/>
          <w:spacing w:val="-4"/>
          <w:sz w:val="20"/>
        </w:rPr>
      </w:r>
      <w:r w:rsidR="00986A54">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986A54">
        <w:rPr>
          <w:rFonts w:ascii="Arial" w:hAnsi="Arial" w:cs="Arial"/>
          <w:noProof/>
          <w:spacing w:val="-4"/>
          <w:sz w:val="20"/>
        </w:rPr>
      </w:r>
      <w:r w:rsidR="00986A54">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986A54">
        <w:rPr>
          <w:rFonts w:ascii="Arial" w:hAnsi="Arial" w:cs="Arial"/>
          <w:noProof/>
          <w:spacing w:val="-4"/>
          <w:sz w:val="20"/>
        </w:rPr>
      </w:r>
      <w:r w:rsidR="00986A54">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E538B2" w:rsidRDefault="00E538B2" w:rsidP="00B869BA">
      <w:pPr>
        <w:jc w:val="both"/>
        <w:rPr>
          <w:rFonts w:ascii="Arial" w:hAnsi="Arial" w:cs="Arial"/>
          <w:sz w:val="22"/>
          <w:szCs w:val="22"/>
        </w:rPr>
      </w:pPr>
    </w:p>
    <w:p w:rsidR="00E538B2" w:rsidRPr="005D0F52" w:rsidRDefault="00E538B2"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986A54">
        <w:rPr>
          <w:rFonts w:ascii="Arial" w:hAnsi="Arial" w:cs="Arial"/>
          <w:noProof/>
          <w:sz w:val="22"/>
          <w:szCs w:val="22"/>
        </w:rPr>
      </w:r>
      <w:r w:rsidR="00986A54">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986A54">
        <w:rPr>
          <w:rFonts w:ascii="Arial" w:hAnsi="Arial" w:cs="Arial"/>
          <w:noProof/>
          <w:sz w:val="22"/>
          <w:szCs w:val="22"/>
        </w:rPr>
      </w:r>
      <w:r w:rsidR="00986A54">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986A54">
        <w:rPr>
          <w:rFonts w:ascii="Arial" w:hAnsi="Arial" w:cs="Arial"/>
          <w:noProof/>
          <w:sz w:val="22"/>
          <w:szCs w:val="22"/>
        </w:rPr>
      </w:r>
      <w:r w:rsidR="00986A54">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986A54">
      <w:pPr>
        <w:spacing w:before="0"/>
        <w:jc w:val="both"/>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D4533F">
        <w:rPr>
          <w:rFonts w:ascii="Arial" w:hAnsi="Arial" w:cs="Arial"/>
          <w:sz w:val="22"/>
          <w:szCs w:val="22"/>
        </w:rPr>
        <w:t>six</w:t>
      </w:r>
      <w:r w:rsidR="00E85F71">
        <w:rPr>
          <w:rFonts w:ascii="Arial" w:hAnsi="Arial" w:cs="Arial"/>
          <w:sz w:val="22"/>
          <w:szCs w:val="22"/>
        </w:rPr>
        <w:t xml:space="preserve"> (</w:t>
      </w:r>
      <w:r w:rsidR="00D4533F">
        <w:rPr>
          <w:rFonts w:ascii="Arial" w:hAnsi="Arial" w:cs="Arial"/>
          <w:sz w:val="22"/>
          <w:szCs w:val="22"/>
        </w:rPr>
        <w:t>6</w:t>
      </w:r>
      <w:r w:rsidR="00B47A1B">
        <w:rPr>
          <w:rFonts w:ascii="Arial" w:hAnsi="Arial" w:cs="Arial"/>
          <w:sz w:val="22"/>
          <w:szCs w:val="22"/>
        </w:rPr>
        <w:t>)</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w:t>
      </w:r>
      <w:r w:rsidR="00986A54">
        <w:rPr>
          <w:rFonts w:ascii="Arial" w:hAnsi="Arial" w:cs="Arial"/>
          <w:noProof/>
          <w:sz w:val="22"/>
          <w:szCs w:val="22"/>
        </w:rPr>
        <w:t>trois</w:t>
      </w:r>
      <w:bookmarkStart w:id="11" w:name="_GoBack"/>
      <w:bookmarkEnd w:id="11"/>
      <w:r w:rsidR="00E85F71">
        <w:rPr>
          <w:rFonts w:ascii="Arial" w:hAnsi="Arial" w:cs="Arial"/>
          <w:noProof/>
          <w:sz w:val="22"/>
          <w:szCs w:val="22"/>
        </w:rPr>
        <w:t xml:space="preserve"> (</w:t>
      </w:r>
      <w:r w:rsidR="00B47A1B">
        <w:rPr>
          <w:rFonts w:ascii="Arial" w:hAnsi="Arial" w:cs="Arial"/>
          <w:noProof/>
          <w:sz w:val="22"/>
          <w:szCs w:val="22"/>
        </w:rPr>
        <w:t>3</w:t>
      </w:r>
      <w:r w:rsidR="00E85F71">
        <w:rPr>
          <w:rFonts w:ascii="Arial" w:hAnsi="Arial" w:cs="Arial"/>
          <w:noProof/>
          <w:sz w:val="22"/>
          <w:szCs w:val="22"/>
        </w:rPr>
        <w:t>)</w:t>
      </w:r>
      <w:r>
        <w:rPr>
          <w:rFonts w:ascii="Arial" w:hAnsi="Arial" w:cs="Arial"/>
          <w:noProof/>
          <w:sz w:val="22"/>
          <w:szCs w:val="22"/>
        </w:rPr>
        <w:t xml:space="preserve"> mois.</w:t>
      </w:r>
      <w:r w:rsidR="00B47A1B" w:rsidRPr="00B47A1B">
        <w:rPr>
          <w:sz w:val="22"/>
          <w:szCs w:val="22"/>
        </w:rPr>
        <w:t xml:space="preserve"> </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A50116">
        <w:rPr>
          <w:rFonts w:ascii="Arial" w:hAnsi="Arial" w:cs="Arial"/>
          <w:sz w:val="22"/>
          <w:szCs w:val="22"/>
        </w:rPr>
        <w:t xml:space="preserve">chapitre </w:t>
      </w:r>
      <w:r w:rsidR="007F1076" w:rsidRPr="00A50116">
        <w:rPr>
          <w:rFonts w:ascii="Arial" w:hAnsi="Arial" w:cs="Arial"/>
          <w:sz w:val="22"/>
          <w:szCs w:val="22"/>
        </w:rPr>
        <w:t>II</w:t>
      </w:r>
      <w:r w:rsidR="00735AE3" w:rsidRPr="00A50116">
        <w:rPr>
          <w:rFonts w:ascii="Arial" w:hAnsi="Arial" w:cs="Arial"/>
          <w:sz w:val="22"/>
          <w:szCs w:val="22"/>
        </w:rPr>
        <w:t>I</w:t>
      </w:r>
      <w:r w:rsidR="0081085E" w:rsidRPr="00A50116">
        <w:rPr>
          <w:rFonts w:ascii="Arial" w:hAnsi="Arial" w:cs="Arial"/>
          <w:sz w:val="22"/>
          <w:szCs w:val="22"/>
        </w:rPr>
        <w:t>.</w:t>
      </w:r>
      <w:r w:rsidRPr="00210BAB">
        <w:rPr>
          <w:rFonts w:ascii="Arial" w:hAnsi="Arial" w:cs="Arial"/>
          <w:sz w:val="22"/>
          <w:szCs w:val="22"/>
        </w:rPr>
        <w:t xml:space="preserve"> </w:t>
      </w:r>
      <w:proofErr w:type="gramStart"/>
      <w:r w:rsidRPr="00210BAB">
        <w:rPr>
          <w:rFonts w:ascii="Arial" w:hAnsi="Arial" w:cs="Arial"/>
          <w:sz w:val="22"/>
          <w:szCs w:val="22"/>
        </w:rPr>
        <w:t>du</w:t>
      </w:r>
      <w:proofErr w:type="gramEnd"/>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 xml:space="preserve">Le maître de l’ouvrage se libèrera des </w:t>
      </w:r>
      <w:r w:rsidR="00E538B2">
        <w:rPr>
          <w:rFonts w:ascii="Arial" w:hAnsi="Arial" w:cs="Arial"/>
          <w:sz w:val="22"/>
          <w:szCs w:val="22"/>
        </w:rPr>
        <w:t>s</w:t>
      </w:r>
      <w:r w:rsidRPr="005D0F52">
        <w:rPr>
          <w:rFonts w:ascii="Arial" w:hAnsi="Arial" w:cs="Arial"/>
          <w:sz w:val="22"/>
          <w:szCs w:val="22"/>
        </w:rPr>
        <w:t>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986A54">
        <w:rPr>
          <w:rFonts w:ascii="Arial" w:hAnsi="Arial" w:cs="Arial"/>
          <w:b/>
          <w:sz w:val="22"/>
          <w:szCs w:val="22"/>
        </w:rPr>
      </w:r>
      <w:r w:rsidR="00986A54">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8122F">
        <w:rPr>
          <w:rFonts w:ascii="Arial" w:hAnsi="Arial" w:cs="Arial"/>
          <w:sz w:val="22"/>
          <w:szCs w:val="22"/>
        </w:rPr>
        <w:t xml:space="preserve">l'article </w:t>
      </w:r>
      <w:r w:rsidR="00652A2A" w:rsidRPr="00C8122F">
        <w:rPr>
          <w:rFonts w:ascii="Arial" w:hAnsi="Arial" w:cs="Arial"/>
          <w:sz w:val="22"/>
          <w:szCs w:val="22"/>
        </w:rPr>
        <w:t>I</w:t>
      </w:r>
      <w:r w:rsidR="007F1076" w:rsidRPr="00C8122F">
        <w:rPr>
          <w:rFonts w:ascii="Arial" w:hAnsi="Arial" w:cs="Arial"/>
          <w:sz w:val="22"/>
          <w:szCs w:val="22"/>
        </w:rPr>
        <w:t>II</w:t>
      </w:r>
      <w:r w:rsidRPr="00C8122F">
        <w:rPr>
          <w:rFonts w:ascii="Arial" w:hAnsi="Arial" w:cs="Arial"/>
          <w:sz w:val="22"/>
          <w:szCs w:val="22"/>
        </w:rPr>
        <w:t>.2 du</w:t>
      </w:r>
      <w:r w:rsidRPr="007F1076">
        <w:rPr>
          <w:rFonts w:ascii="Arial" w:hAnsi="Arial" w:cs="Arial"/>
          <w:sz w:val="22"/>
          <w:szCs w:val="22"/>
        </w:rPr>
        <w:t xml:space="preserve"> CC</w:t>
      </w:r>
      <w:r w:rsidR="00E538B2">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986A54">
        <w:rPr>
          <w:rFonts w:ascii="Arial" w:hAnsi="Arial" w:cs="Arial"/>
          <w:b/>
          <w:sz w:val="22"/>
          <w:szCs w:val="22"/>
        </w:rPr>
      </w:r>
      <w:r w:rsidR="00986A54">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E538B2" w:rsidRDefault="00E538B2" w:rsidP="005D0F52">
      <w:pPr>
        <w:widowControl w:val="0"/>
        <w:spacing w:before="0"/>
        <w:rPr>
          <w:rFonts w:ascii="Arial" w:hAnsi="Arial" w:cs="Arial"/>
          <w:noProof/>
        </w:rPr>
      </w:pPr>
    </w:p>
    <w:p w:rsidR="00E538B2" w:rsidRPr="005D0F52" w:rsidRDefault="00E538B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E538B2" w:rsidRDefault="00E538B2" w:rsidP="005D0F52">
      <w:pPr>
        <w:spacing w:before="0"/>
        <w:rPr>
          <w:rFonts w:ascii="Arial" w:hAnsi="Arial" w:cs="Arial"/>
          <w:noProof/>
        </w:rPr>
      </w:pPr>
    </w:p>
    <w:p w:rsidR="00E538B2" w:rsidRDefault="00E538B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E538B2">
        <w:rPr>
          <w:rFonts w:ascii="Arial" w:hAnsi="Arial" w:cs="Arial"/>
          <w:b/>
          <w:noProof/>
        </w:rPr>
        <w:t>DE NOTIFICATION</w:t>
      </w:r>
      <w:r w:rsidRPr="005D0F52">
        <w:rPr>
          <w:rFonts w:ascii="Arial" w:hAnsi="Arial" w:cs="Arial"/>
          <w:b/>
          <w:noProof/>
        </w:rPr>
        <w:t xml:space="preserve">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986A54">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986A54">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b/>
        </w:rPr>
      </w:pPr>
      <w:r w:rsidRPr="005D0F52">
        <w:rPr>
          <w:b/>
        </w:rPr>
        <w:t>Paiement</w:t>
      </w:r>
    </w:p>
    <w:p w:rsidR="005D0F52" w:rsidRPr="00C8122F" w:rsidRDefault="005D0F52" w:rsidP="005D0F52">
      <w:pPr>
        <w:ind w:firstLine="709"/>
        <w:jc w:val="both"/>
        <w:rPr>
          <w:sz w:val="22"/>
          <w:szCs w:val="22"/>
        </w:rPr>
      </w:pPr>
      <w:r w:rsidRPr="00C8122F">
        <w:rPr>
          <w:sz w:val="22"/>
          <w:szCs w:val="22"/>
        </w:rPr>
        <w:t>Le maître de l’ouvrage se libèrera des sommes dues au titre du présent marché en faisant porter le montant au crédit du ou des comptes suivants : Joindre impérativement un RIB.</w:t>
      </w:r>
    </w:p>
    <w:p w:rsidR="00C8122F" w:rsidRPr="0030343E" w:rsidRDefault="00C8122F" w:rsidP="00C8122F">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8122F" w:rsidRPr="0030343E" w:rsidRDefault="00C8122F" w:rsidP="00C8122F">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986A54">
        <w:rPr>
          <w:b/>
          <w:sz w:val="22"/>
          <w:szCs w:val="22"/>
        </w:rPr>
      </w:r>
      <w:r w:rsidR="00986A54">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8122F" w:rsidRPr="0030343E" w:rsidRDefault="00C8122F" w:rsidP="00C8122F">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986A54">
        <w:rPr>
          <w:b/>
          <w:sz w:val="22"/>
          <w:szCs w:val="22"/>
        </w:rPr>
      </w:r>
      <w:r w:rsidR="00986A54">
        <w:rPr>
          <w:b/>
          <w:sz w:val="22"/>
          <w:szCs w:val="22"/>
        </w:rPr>
        <w:fldChar w:fldCharType="separate"/>
      </w:r>
      <w:r w:rsidRPr="0030343E">
        <w:rPr>
          <w:sz w:val="22"/>
          <w:szCs w:val="22"/>
        </w:rPr>
        <w:fldChar w:fldCharType="end"/>
      </w:r>
      <w:r w:rsidRPr="0030343E">
        <w:rPr>
          <w:sz w:val="22"/>
          <w:szCs w:val="22"/>
        </w:rPr>
        <w:t xml:space="preserve"> </w:t>
      </w:r>
      <w:r w:rsidR="00FE5A36">
        <w:rPr>
          <w:sz w:val="22"/>
          <w:szCs w:val="22"/>
        </w:rPr>
        <w:t>accepte</w:t>
      </w:r>
      <w:r w:rsidRPr="0030343E">
        <w:rPr>
          <w:sz w:val="22"/>
          <w:szCs w:val="22"/>
        </w:rPr>
        <w:t xml:space="preserve"> de percevoir l'avance </w:t>
      </w:r>
    </w:p>
    <w:p w:rsidR="00C8122F" w:rsidRPr="005D0F52" w:rsidRDefault="00C8122F"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br w:type="page"/>
            </w: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E538B2">
    <w:pPr>
      <w:pStyle w:val="Pieddepage"/>
    </w:pPr>
    <w:r>
      <w:rPr>
        <w:sz w:val="18"/>
        <w:szCs w:val="18"/>
      </w:rPr>
      <w:t>P25-02-001</w:t>
    </w:r>
    <w:r>
      <w:rPr>
        <w:sz w:val="18"/>
        <w:szCs w:val="18"/>
      </w:rPr>
      <w:tab/>
      <w:t>AE LOT 1</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986A54">
          <w:rPr>
            <w:noProof/>
          </w:rPr>
          <w:t>10</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Cocher la case correspondante à votre situation</w:t>
      </w:r>
    </w:p>
  </w:footnote>
  <w:footnote w:id="3">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8122F" w:rsidRDefault="005D0F52" w:rsidP="005D0F52">
      <w:pPr>
        <w:pStyle w:val="Notedebasdepage"/>
        <w:rPr>
          <w:sz w:val="20"/>
        </w:rPr>
      </w:pPr>
      <w:r w:rsidRPr="00C8122F">
        <w:rPr>
          <w:sz w:val="20"/>
        </w:rPr>
        <w:t>(1) Si marché à tranches, cette annexe doit être complétée pour chaque tranche,</w:t>
      </w:r>
    </w:p>
    <w:p w:rsidR="005D0F52" w:rsidRPr="00C8122F" w:rsidRDefault="005D0F52" w:rsidP="005D0F52">
      <w:pPr>
        <w:pStyle w:val="Notedebasdepage"/>
        <w:rPr>
          <w:sz w:val="20"/>
        </w:rPr>
      </w:pPr>
      <w:r w:rsidRPr="00C8122F">
        <w:rPr>
          <w:sz w:val="20"/>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210BAB"/>
    <w:rsid w:val="00270D2A"/>
    <w:rsid w:val="003B28EF"/>
    <w:rsid w:val="003B6011"/>
    <w:rsid w:val="003D6A26"/>
    <w:rsid w:val="00420EF4"/>
    <w:rsid w:val="00424266"/>
    <w:rsid w:val="00462572"/>
    <w:rsid w:val="0055207D"/>
    <w:rsid w:val="005A3FB5"/>
    <w:rsid w:val="005A410E"/>
    <w:rsid w:val="005B4B13"/>
    <w:rsid w:val="005B5A78"/>
    <w:rsid w:val="005D0F52"/>
    <w:rsid w:val="005D2FB3"/>
    <w:rsid w:val="0062049D"/>
    <w:rsid w:val="00652A2A"/>
    <w:rsid w:val="006B1EC1"/>
    <w:rsid w:val="006D0350"/>
    <w:rsid w:val="00707C7B"/>
    <w:rsid w:val="00721313"/>
    <w:rsid w:val="00735AE3"/>
    <w:rsid w:val="00754719"/>
    <w:rsid w:val="007A4A6D"/>
    <w:rsid w:val="007E524D"/>
    <w:rsid w:val="007F1076"/>
    <w:rsid w:val="0081085E"/>
    <w:rsid w:val="008311EC"/>
    <w:rsid w:val="00834550"/>
    <w:rsid w:val="0086536E"/>
    <w:rsid w:val="008E4EC4"/>
    <w:rsid w:val="008E6767"/>
    <w:rsid w:val="008F3485"/>
    <w:rsid w:val="009229E5"/>
    <w:rsid w:val="009638E3"/>
    <w:rsid w:val="00986A54"/>
    <w:rsid w:val="009E3EF9"/>
    <w:rsid w:val="009F2245"/>
    <w:rsid w:val="00A076AE"/>
    <w:rsid w:val="00A1079E"/>
    <w:rsid w:val="00A362BA"/>
    <w:rsid w:val="00A37EB5"/>
    <w:rsid w:val="00A50116"/>
    <w:rsid w:val="00A818F7"/>
    <w:rsid w:val="00A9540A"/>
    <w:rsid w:val="00B47A1B"/>
    <w:rsid w:val="00B66A51"/>
    <w:rsid w:val="00B869BA"/>
    <w:rsid w:val="00BB4AC8"/>
    <w:rsid w:val="00BF2E24"/>
    <w:rsid w:val="00BF5B00"/>
    <w:rsid w:val="00BF667E"/>
    <w:rsid w:val="00C322C2"/>
    <w:rsid w:val="00C8122F"/>
    <w:rsid w:val="00CE42FF"/>
    <w:rsid w:val="00D4533F"/>
    <w:rsid w:val="00D63085"/>
    <w:rsid w:val="00DB34A8"/>
    <w:rsid w:val="00DB7633"/>
    <w:rsid w:val="00DC04F7"/>
    <w:rsid w:val="00E11E20"/>
    <w:rsid w:val="00E21A00"/>
    <w:rsid w:val="00E27128"/>
    <w:rsid w:val="00E538B2"/>
    <w:rsid w:val="00E85F71"/>
    <w:rsid w:val="00EA10F7"/>
    <w:rsid w:val="00ED3B45"/>
    <w:rsid w:val="00F6496B"/>
    <w:rsid w:val="00FD243B"/>
    <w:rsid w:val="00FD46C3"/>
    <w:rsid w:val="00FE5A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025C866"/>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D4EEA-2E86-451C-A873-E2B3B0121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10</Pages>
  <Words>2094</Words>
  <Characters>11521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14</cp:revision>
  <cp:lastPrinted>2024-08-02T12:12:00Z</cp:lastPrinted>
  <dcterms:created xsi:type="dcterms:W3CDTF">2024-08-26T11:12:00Z</dcterms:created>
  <dcterms:modified xsi:type="dcterms:W3CDTF">2025-07-21T17:51:00Z</dcterms:modified>
</cp:coreProperties>
</file>